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Hans"/>
        </w:rPr>
        <w:t>皮肤科适宜技术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交流活动暨第二届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中医经典与临证思维高级研修班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Hans"/>
        </w:rPr>
        <w:t>培训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通知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各有关单位、专家: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为帮助中医临床一线医务工作者更好地运用中医思维，尤其是“阴阳寒热”理论进行思考分析，正确地诊断、辨证、立法和处方用药，提高中医临床诊疗水平，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中国民族医药学会、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中华中医药学会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、内蒙古自治区中医药学会、巴彦淖尔市科学技术协会主办，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北京中医医院内蒙古医院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和内蒙古自治区中医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共同承办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的国家级继续医学教育项目“中医经典与临证思维高级研修班”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“中国民族医药学会皮肤科分会、中华中医药学会皮肤科分会基层大讲堂(巴彦淖尔站)暨皮肤科适宜技术交流活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19日-22日</w:t>
      </w:r>
      <w:r>
        <w:rPr>
          <w:rFonts w:hint="eastAsia" w:ascii="仿宋" w:hAnsi="仿宋" w:eastAsia="仿宋" w:cs="仿宋"/>
          <w:sz w:val="32"/>
          <w:szCs w:val="32"/>
        </w:rPr>
        <w:t xml:space="preserve">在内蒙古自治区巴彦淖尔市举办。现将有关事项通知如下: </w:t>
      </w:r>
    </w:p>
    <w:p>
      <w:pPr>
        <w:pStyle w:val="5"/>
        <w:widowControl/>
        <w:spacing w:before="0" w:beforeAutospacing="0" w:after="0" w:afterAutospacing="0" w:line="360" w:lineRule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一、会议时间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及地点</w:t>
      </w:r>
    </w:p>
    <w:p>
      <w:pPr>
        <w:pStyle w:val="5"/>
        <w:widowControl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1.会议时间：</w:t>
      </w:r>
      <w:r>
        <w:rPr>
          <w:rFonts w:hint="eastAsia" w:ascii="仿宋" w:hAnsi="仿宋" w:eastAsia="仿宋" w:cs="仿宋"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</w:p>
    <w:p>
      <w:pPr>
        <w:pStyle w:val="5"/>
        <w:widowControl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9月19日报到，9月20-21日会议，9月22日离会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</w:rPr>
        <w:t>会议地点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巴彦淖尔市临河区华威国际饭店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360" w:lineRule="auto"/>
        <w:rPr>
          <w:rFonts w:ascii="仿宋" w:hAnsi="仿宋" w:eastAsia="仿宋" w:cs="仿宋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会议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内容</w:t>
      </w:r>
    </w:p>
    <w:p>
      <w:pPr>
        <w:pStyle w:val="5"/>
        <w:widowControl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会议具体安排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详见</w:t>
      </w:r>
      <w:r>
        <w:rPr>
          <w:rFonts w:hint="eastAsia" w:ascii="仿宋" w:hAnsi="仿宋" w:eastAsia="仿宋" w:cs="仿宋"/>
          <w:kern w:val="2"/>
          <w:sz w:val="32"/>
          <w:szCs w:val="32"/>
        </w:rPr>
        <w:t>会议日程附件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。</w:t>
      </w:r>
    </w:p>
    <w:p>
      <w:pPr>
        <w:pStyle w:val="5"/>
        <w:widowControl/>
        <w:spacing w:before="0" w:beforeAutospacing="0" w:after="0" w:afterAutospacing="0" w:line="360" w:lineRule="auto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、参会人员</w:t>
      </w:r>
    </w:p>
    <w:p>
      <w:pPr>
        <w:pStyle w:val="5"/>
        <w:widowControl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全国各医疗机构中医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医师</w:t>
      </w:r>
      <w:r>
        <w:rPr>
          <w:rFonts w:hint="eastAsia" w:ascii="仿宋" w:hAnsi="仿宋" w:eastAsia="仿宋" w:cs="仿宋"/>
          <w:kern w:val="2"/>
          <w:sz w:val="32"/>
          <w:szCs w:val="32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皮肤科医师、</w:t>
      </w:r>
      <w:r>
        <w:rPr>
          <w:rFonts w:hint="eastAsia" w:ascii="仿宋" w:hAnsi="仿宋" w:eastAsia="仿宋" w:cs="仿宋"/>
          <w:kern w:val="2"/>
          <w:sz w:val="32"/>
          <w:szCs w:val="32"/>
        </w:rPr>
        <w:t>中西医结合医师及中医专业学生。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其他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事宜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1.参会者于2024年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日前将参会回执(附件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)发送至会务组邮箱: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instrText xml:space="preserve"> HYPERLINK "mailto:bszyykjk@163.com" </w:instrTex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bszyykjk</w:t>
      </w:r>
      <w:r>
        <w:rPr>
          <w:rStyle w:val="10"/>
          <w:rFonts w:hint="eastAsia" w:ascii="仿宋" w:hAnsi="仿宋" w:eastAsia="仿宋" w:cs="仿宋"/>
          <w:sz w:val="32"/>
          <w:szCs w:val="32"/>
          <w:u w:val="none"/>
        </w:rPr>
        <w:t>@163.com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此次培训班培训费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780</w:t>
      </w:r>
      <w:r>
        <w:rPr>
          <w:rFonts w:hint="eastAsia" w:ascii="仿宋" w:hAnsi="仿宋" w:eastAsia="仿宋" w:cs="仿宋"/>
          <w:sz w:val="32"/>
          <w:szCs w:val="32"/>
        </w:rPr>
        <w:t>元/人，在校学生凭学生证300元/人，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食宿由会议方统一安排，</w:t>
      </w:r>
      <w:r>
        <w:rPr>
          <w:rFonts w:hint="eastAsia" w:ascii="仿宋" w:hAnsi="仿宋" w:eastAsia="仿宋" w:cs="仿宋"/>
          <w:sz w:val="32"/>
          <w:szCs w:val="32"/>
        </w:rPr>
        <w:t>费用自理。缴费方式见附件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.此次培训为国家级中医药继续教育项目（项目编号</w:t>
      </w:r>
      <w:r>
        <w:rPr>
          <w:rFonts w:hint="eastAsia" w:ascii="仿宋" w:hAnsi="仿宋" w:eastAsia="仿宋" w:cs="仿宋"/>
          <w:kern w:val="2"/>
          <w:sz w:val="32"/>
          <w:szCs w:val="32"/>
        </w:rPr>
        <w:t>T20240532002</w:t>
      </w:r>
      <w:r>
        <w:rPr>
          <w:rFonts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全程参会且</w:t>
      </w:r>
      <w:r>
        <w:rPr>
          <w:rFonts w:hint="eastAsia" w:ascii="仿宋" w:hAnsi="仿宋" w:eastAsia="仿宋" w:cs="仿宋"/>
          <w:kern w:val="2"/>
          <w:sz w:val="32"/>
          <w:szCs w:val="32"/>
        </w:rPr>
        <w:t>考核合格</w:t>
      </w:r>
      <w:r>
        <w:rPr>
          <w:rFonts w:hint="eastAsia" w:ascii="仿宋" w:hAnsi="仿宋" w:eastAsia="仿宋" w:cs="仿宋"/>
          <w:sz w:val="32"/>
          <w:szCs w:val="32"/>
        </w:rPr>
        <w:t>可</w:t>
      </w:r>
      <w:r>
        <w:rPr>
          <w:rFonts w:ascii="仿宋" w:hAnsi="仿宋" w:eastAsia="仿宋" w:cs="仿宋"/>
          <w:sz w:val="32"/>
          <w:szCs w:val="32"/>
        </w:rPr>
        <w:t>授予I类学分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4.会务不设接送站，请各位代表自行前往。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（临河火车站打车至酒店需5分钟；天吉泰机场打车至酒店需45分钟左右）。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会议联系人及联系方式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王素蓉：15847806989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王巧凤：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15334898603</w:t>
      </w:r>
    </w:p>
    <w:p>
      <w:pPr>
        <w:pStyle w:val="5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60" w:lineRule="auto"/>
        <w:ind w:firstLine="640" w:firstLineChars="200"/>
        <w:jc w:val="right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right"/>
        <w:rPr>
          <w:rFonts w:ascii="仿宋" w:hAnsi="仿宋" w:eastAsia="仿宋" w:cs="仿宋"/>
          <w:color w:val="0000FF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内蒙古自治区中医药学会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right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202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附件1：会议议程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附件2：中医经典与临证思维高级研修班参会回执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附件3：会议注册费缴费方式</w:t>
      </w:r>
    </w:p>
    <w:p>
      <w:pPr>
        <w:pStyle w:val="5"/>
        <w:spacing w:before="0" w:beforeAutospacing="0" w:after="0" w:afterAutospacing="0" w:line="360" w:lineRule="auto"/>
        <w:ind w:firstLine="560" w:firstLineChars="200"/>
        <w:jc w:val="both"/>
        <w:rPr>
          <w:rFonts w:asciiTheme="minorEastAsia" w:hAnsiTheme="minorEastAsia" w:cstheme="minorBidi"/>
          <w:kern w:val="2"/>
          <w:sz w:val="28"/>
          <w:szCs w:val="28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</w:rPr>
        <w:br w:type="page"/>
      </w:r>
    </w:p>
    <w:p>
      <w:pPr>
        <w:pStyle w:val="5"/>
        <w:widowControl/>
        <w:spacing w:before="0" w:beforeAutospacing="0" w:after="0" w:afterAutospacing="0" w:line="360" w:lineRule="auto"/>
        <w:rPr>
          <w:rFonts w:hint="eastAsia" w:ascii="仿宋" w:hAnsi="仿宋" w:eastAsia="仿宋" w:cs="仿宋"/>
          <w:kern w:val="2"/>
          <w:sz w:val="32"/>
          <w:szCs w:val="32"/>
        </w:rPr>
        <w:sectPr>
          <w:pgSz w:w="11906" w:h="16838"/>
          <w:pgMar w:top="1043" w:right="1800" w:bottom="986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before="0" w:beforeAutospacing="0" w:after="0" w:afterAutospacing="0" w:line="360" w:lineRule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会议日程</w:t>
      </w:r>
    </w:p>
    <w:tbl>
      <w:tblPr>
        <w:tblStyle w:val="6"/>
        <w:tblpPr w:leftFromText="180" w:rightFromText="180" w:vertAnchor="text" w:horzAnchor="page" w:tblpX="464" w:tblpY="697"/>
        <w:tblOverlap w:val="never"/>
        <w:tblW w:w="14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5113"/>
        <w:gridCol w:w="1884"/>
        <w:gridCol w:w="5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08" w:type="dxa"/>
            <w:vAlign w:val="center"/>
          </w:tcPr>
          <w:p>
            <w:pPr>
              <w:pStyle w:val="11"/>
              <w:tabs>
                <w:tab w:val="left" w:pos="210"/>
              </w:tabs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11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授课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88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授课老师</w:t>
            </w:r>
          </w:p>
        </w:tc>
        <w:tc>
          <w:tcPr>
            <w:tcW w:w="541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1" w:type="dxa"/>
            <w:gridSpan w:val="4"/>
            <w:vAlign w:val="center"/>
          </w:tcPr>
          <w:p>
            <w:pPr>
              <w:pStyle w:val="11"/>
              <w:tabs>
                <w:tab w:val="left" w:pos="1239"/>
              </w:tabs>
              <w:ind w:firstLine="0" w:firstLineChars="0"/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日（周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8: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4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皮肤科专学科建设规划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周冬梅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带状疱疹的中医诊疗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高瑞霞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内蒙古自治区中医医院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从脾胃病论治皮肤病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胡艳君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宁夏医科大学附属银川市中医医院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穴位埋线治疗常见皮肤病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陈维文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12:00-15:00</w:t>
            </w:r>
          </w:p>
        </w:tc>
        <w:tc>
          <w:tcPr>
            <w:tcW w:w="124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15:00-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中西共识共话银屑病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韩光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北京中医医院内蒙古医院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面部皮肤软组织缺损的修复技巧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姚兴伟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内蒙古自治区中医医院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邮票贴敷法在皮肤科的临床应用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胡薇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润肌膏的制备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郑立红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11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中医护理操作技术在皮肤科临床应用</w:t>
            </w:r>
          </w:p>
        </w:tc>
        <w:tc>
          <w:tcPr>
            <w:tcW w:w="188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龚永红</w:t>
            </w:r>
          </w:p>
        </w:tc>
        <w:tc>
          <w:tcPr>
            <w:tcW w:w="541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46"/>
              </w:tabs>
              <w:spacing w:line="500" w:lineRule="exact"/>
              <w:jc w:val="both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3446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9月21日（周六）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8:30-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:30</w:t>
            </w:r>
          </w:p>
        </w:tc>
        <w:tc>
          <w:tcPr>
            <w:tcW w:w="5113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病例谈中医临证思维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上下两纲辨证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耿建国</w:t>
            </w:r>
          </w:p>
        </w:tc>
        <w:tc>
          <w:tcPr>
            <w:tcW w:w="54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-12:00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病例谈中医临证思维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中焦寒热辨证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12:00-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午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阴阳寒热辨证思考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萍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从心身合一角度谈过敏性鼻炎的防治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张广中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北京中医医院内蒙古医院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耿建国教授真寒假热验案举隅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陈玉静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首都医科大学北京宣武医院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耿建国教授治疗癌痛思路探析及跟师感悟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李杨帆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首都医科大学附属北京友谊医院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结合病例浅谈耿建国教授诊治上热下寒证经验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姜楠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北京市宣武中医医院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对寒热辨证的思考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宋明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首都医科大学中医药学院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耿建国老师临证思维运用之填空塞窍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江家荣</w:t>
            </w:r>
          </w:p>
        </w:tc>
        <w:tc>
          <w:tcPr>
            <w:tcW w:w="5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北京火箭军总医院</w:t>
            </w:r>
          </w:p>
        </w:tc>
      </w:tr>
    </w:tbl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30"/>
          <w:szCs w:val="30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30"/>
          <w:szCs w:val="30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30"/>
          <w:szCs w:val="30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30"/>
          <w:szCs w:val="30"/>
          <w:lang w:val="en-US" w:eastAsia="zh-CN"/>
        </w:rPr>
      </w:pPr>
    </w:p>
    <w:p>
      <w:pPr>
        <w:pStyle w:val="15"/>
        <w:spacing w:after="400" w:line="401" w:lineRule="exact"/>
        <w:ind w:firstLine="0"/>
        <w:jc w:val="both"/>
        <w:rPr>
          <w:rFonts w:hint="eastAsia"/>
          <w:b/>
          <w:bCs/>
          <w:color w:val="000000"/>
          <w:sz w:val="30"/>
          <w:szCs w:val="30"/>
          <w:lang w:val="en-US" w:eastAsia="zh-CN"/>
        </w:rPr>
        <w:sectPr>
          <w:pgSz w:w="16838" w:h="11906" w:orient="landscape"/>
          <w:pgMar w:top="986" w:right="1043" w:bottom="986" w:left="986" w:header="851" w:footer="992" w:gutter="0"/>
          <w:cols w:space="425" w:num="1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1" w:lineRule="exact"/>
        <w:ind w:firstLine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附件2：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皮肤科适宜技术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交流活动暨第二届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中医经典与临证思维高级研修班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参会回执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b/>
          <w:bCs/>
          <w:color w:val="000000"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1"/>
        <w:gridCol w:w="1516"/>
        <w:gridCol w:w="925"/>
        <w:gridCol w:w="705"/>
        <w:gridCol w:w="616"/>
        <w:gridCol w:w="767"/>
        <w:gridCol w:w="1441"/>
        <w:gridCol w:w="19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after="160"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52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52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tabs>
                <w:tab w:val="left" w:pos="1203"/>
              </w:tabs>
              <w:spacing w:after="160"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需要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不需要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" w:char="00A8"/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6"/>
              <w:spacing w:line="240" w:lineRule="auto"/>
              <w:ind w:firstLine="560" w:firstLineChars="2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住宿要求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6"/>
              <w:tabs>
                <w:tab w:val="left" w:pos="2722"/>
              </w:tabs>
              <w:spacing w:line="240" w:lineRule="auto"/>
              <w:ind w:firstLine="0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同意标准间拼房</w:t>
            </w: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 xml:space="preserve">      需要单间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>间，住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6"/>
              <w:tabs>
                <w:tab w:val="left" w:pos="2722"/>
              </w:tabs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ab/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6"/>
              <w:tabs>
                <w:tab w:val="left" w:pos="2722"/>
              </w:tabs>
              <w:spacing w:line="240" w:lineRule="auto"/>
              <w:ind w:firstLine="0"/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993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lang w:val="en-US" w:eastAsia="zh-CN"/>
              </w:rPr>
              <w:t>由于要开具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发票，请务必将以下信息填写正确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after="160"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280" w:firstLineChars="10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after="160" w:line="240" w:lineRule="auto"/>
              <w:ind w:firstLine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6"/>
              <w:spacing w:line="240" w:lineRule="auto"/>
              <w:ind w:firstLine="280" w:firstLineChars="100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开户行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3" w:hRule="exact"/>
          <w:jc w:val="center"/>
        </w:trPr>
        <w:tc>
          <w:tcPr>
            <w:tcW w:w="199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6"/>
              <w:spacing w:after="160" w:line="240" w:lineRule="auto"/>
              <w:ind w:left="0" w:leftChars="0" w:firstLine="560" w:firstLineChars="200"/>
              <w:jc w:val="both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spacing w:line="240" w:lineRule="auto"/>
              <w:jc w:val="center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after="139" w:line="1" w:lineRule="exact"/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  <w:lang w:val="en-US" w:eastAsia="zh-CN"/>
        </w:rPr>
        <w:t>在饮食方面有何特殊要求，</w:t>
      </w:r>
      <w:r>
        <w:rPr>
          <w:rFonts w:hint="eastAsia"/>
          <w:sz w:val="28"/>
          <w:szCs w:val="28"/>
        </w:rPr>
        <w:t>请在参会回执中标明。</w:t>
      </w:r>
    </w:p>
    <w:p>
      <w:pPr>
        <w:ind w:firstLine="560" w:firstLineChars="200"/>
        <w:rPr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如住房</w:t>
      </w:r>
      <w:r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  <w:lang w:val="en-US" w:eastAsia="zh-CN"/>
        </w:rPr>
        <w:t>拼房或</w:t>
      </w:r>
      <w:r>
        <w:rPr>
          <w:rFonts w:hint="eastAsia"/>
          <w:sz w:val="28"/>
          <w:szCs w:val="28"/>
        </w:rPr>
        <w:t>单人单住，</w:t>
      </w:r>
      <w:r>
        <w:rPr>
          <w:rFonts w:hint="eastAsia"/>
          <w:sz w:val="28"/>
          <w:szCs w:val="28"/>
          <w:lang w:val="en-US" w:eastAsia="zh-CN"/>
        </w:rPr>
        <w:t>也</w:t>
      </w:r>
      <w:r>
        <w:rPr>
          <w:rFonts w:hint="eastAsia"/>
          <w:sz w:val="28"/>
          <w:szCs w:val="28"/>
        </w:rPr>
        <w:t>请在参会回执中标明。</w:t>
      </w:r>
    </w:p>
    <w:p>
      <w:pPr>
        <w:widowControl/>
        <w:spacing w:line="360" w:lineRule="auto"/>
        <w:jc w:val="left"/>
        <w:rPr>
          <w:rFonts w:ascii="Times New Roman" w:hAnsi="Times New Roman" w:eastAsia="仿宋" w:cs="仿宋"/>
          <w:spacing w:val="-59"/>
          <w:sz w:val="29"/>
          <w:szCs w:val="29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仿宋"/>
          <w:spacing w:val="-59"/>
          <w:sz w:val="29"/>
          <w:szCs w:val="29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仿宋"/>
          <w:spacing w:val="-59"/>
          <w:sz w:val="29"/>
          <w:szCs w:val="29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附件3：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 xml:space="preserve">缴费方式 </w:t>
      </w:r>
    </w:p>
    <w:p>
      <w:pPr>
        <w:widowControl/>
        <w:numPr>
          <w:ilvl w:val="0"/>
          <w:numId w:val="1"/>
        </w:num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第一种缴费方式</w:t>
      </w:r>
    </w:p>
    <w:p>
      <w:pPr>
        <w:widowControl/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银行转账转入对公账户：</w:t>
      </w:r>
      <w:r>
        <w:rPr>
          <w:rFonts w:hint="eastAsia" w:ascii="仿宋" w:hAnsi="仿宋" w:eastAsia="仿宋" w:cs="仿宋"/>
          <w:sz w:val="32"/>
          <w:szCs w:val="32"/>
        </w:rPr>
        <w:t>单位或个人都可以转入，转账完成后请保留交易凭证。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开户名称：内蒙古自治区中医药学会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开户银行：中国银行股份有限公司呼和浩特市中山商业区支行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账号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150800266834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  <w:t>附言栏注明：中医经典与临证思维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班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  <w:t>+手机号+姓名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财务联系人：宋小伟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15648100111</w:t>
      </w:r>
    </w:p>
    <w:p>
      <w:pPr>
        <w:pStyle w:val="2"/>
        <w:ind w:firstLine="480"/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</w:pPr>
    </w:p>
    <w:p>
      <w:pPr>
        <w:pStyle w:val="2"/>
        <w:numPr>
          <w:ilvl w:val="0"/>
          <w:numId w:val="2"/>
        </w:numPr>
        <w:ind w:firstLine="48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第二种缴费方式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个人支付宝扫码支付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用支付宝扫描下方二维码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完成缴费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截图保留缴费凭证。</w:t>
      </w:r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drawing>
          <wp:inline distT="0" distB="0" distL="114300" distR="114300">
            <wp:extent cx="1587500" cy="2470785"/>
            <wp:effectExtent l="0" t="0" r="12700" b="5715"/>
            <wp:docPr id="3" name="图片 3" descr="bee2c1cc3d7c4919021298465f22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e2c1cc3d7c4919021298465f223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/>
          <w:color w:val="FF0000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注：缴费时请填写备注：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  <w:t>中医经典与临证思维+手机号+姓名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缴费后请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缴费截图于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发至会务组邮箱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none"/>
          <w:lang w:val="en-US" w:eastAsia="zh-CN"/>
        </w:rPr>
        <w:instrText xml:space="preserve"> HYPERLINK "mailto:Lan570755706@163.com。）。" </w:instrTex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color w:val="FF0000"/>
          <w:sz w:val="32"/>
          <w:szCs w:val="32"/>
          <w:u w:val="none"/>
          <w:lang w:val="en-US" w:eastAsia="zh-CN"/>
        </w:rPr>
        <w:t>bszyykjk</w:t>
      </w:r>
      <w:r>
        <w:rPr>
          <w:rStyle w:val="10"/>
          <w:rFonts w:hint="eastAsia" w:ascii="仿宋" w:hAnsi="仿宋" w:eastAsia="仿宋" w:cs="仿宋"/>
          <w:b/>
          <w:bCs/>
          <w:color w:val="FF0000"/>
          <w:sz w:val="32"/>
          <w:szCs w:val="32"/>
          <w:u w:val="none"/>
        </w:rPr>
        <w:t>@163.com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none"/>
          <w:lang w:val="en-US" w:eastAsia="zh-CN"/>
        </w:rPr>
        <w:fldChar w:fldCharType="end"/>
      </w:r>
    </w:p>
    <w:sectPr>
      <w:pgSz w:w="11906" w:h="16838"/>
      <w:pgMar w:top="1043" w:right="986" w:bottom="98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453AF3"/>
    <w:multiLevelType w:val="singleLevel"/>
    <w:tmpl w:val="EB453A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A92D310"/>
    <w:multiLevelType w:val="singleLevel"/>
    <w:tmpl w:val="2A92D3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OTEyMWE0ZTQ0MmFlZDQyZTc4ZWY0YTVlOWY3MmEifQ=="/>
  </w:docVars>
  <w:rsids>
    <w:rsidRoot w:val="0096081D"/>
    <w:rsid w:val="00071B9F"/>
    <w:rsid w:val="000C21A9"/>
    <w:rsid w:val="000E36A1"/>
    <w:rsid w:val="00141043"/>
    <w:rsid w:val="001617DB"/>
    <w:rsid w:val="00196F8C"/>
    <w:rsid w:val="00222852"/>
    <w:rsid w:val="00230A03"/>
    <w:rsid w:val="00260822"/>
    <w:rsid w:val="00291786"/>
    <w:rsid w:val="0029509E"/>
    <w:rsid w:val="002A2A65"/>
    <w:rsid w:val="002A68C1"/>
    <w:rsid w:val="00313332"/>
    <w:rsid w:val="0038064A"/>
    <w:rsid w:val="004A3D00"/>
    <w:rsid w:val="00570025"/>
    <w:rsid w:val="005B7537"/>
    <w:rsid w:val="005C1601"/>
    <w:rsid w:val="00606020"/>
    <w:rsid w:val="00642826"/>
    <w:rsid w:val="00670B4A"/>
    <w:rsid w:val="00675E1B"/>
    <w:rsid w:val="006A6895"/>
    <w:rsid w:val="007F1268"/>
    <w:rsid w:val="00852B44"/>
    <w:rsid w:val="008D148F"/>
    <w:rsid w:val="0096081D"/>
    <w:rsid w:val="009D756A"/>
    <w:rsid w:val="009F54DC"/>
    <w:rsid w:val="009F613F"/>
    <w:rsid w:val="00A4229A"/>
    <w:rsid w:val="00AB5D81"/>
    <w:rsid w:val="00AC09C8"/>
    <w:rsid w:val="00B028E9"/>
    <w:rsid w:val="00B503B2"/>
    <w:rsid w:val="00BA37E3"/>
    <w:rsid w:val="00C10DF2"/>
    <w:rsid w:val="00C2512A"/>
    <w:rsid w:val="00C47544"/>
    <w:rsid w:val="00C72B5E"/>
    <w:rsid w:val="00CE7AE5"/>
    <w:rsid w:val="00D04CF6"/>
    <w:rsid w:val="00D352E9"/>
    <w:rsid w:val="00D73121"/>
    <w:rsid w:val="00DC327D"/>
    <w:rsid w:val="00DF443B"/>
    <w:rsid w:val="00E8349B"/>
    <w:rsid w:val="00E92ED2"/>
    <w:rsid w:val="00E96459"/>
    <w:rsid w:val="00EE1294"/>
    <w:rsid w:val="00EE6F9C"/>
    <w:rsid w:val="00F74733"/>
    <w:rsid w:val="00FF3C5A"/>
    <w:rsid w:val="021A168D"/>
    <w:rsid w:val="02A85E3B"/>
    <w:rsid w:val="05D42392"/>
    <w:rsid w:val="05FB6D97"/>
    <w:rsid w:val="0713253D"/>
    <w:rsid w:val="078F7797"/>
    <w:rsid w:val="0A007232"/>
    <w:rsid w:val="0AC8482A"/>
    <w:rsid w:val="0BA62527"/>
    <w:rsid w:val="115442F2"/>
    <w:rsid w:val="13021765"/>
    <w:rsid w:val="139F1394"/>
    <w:rsid w:val="15725CC1"/>
    <w:rsid w:val="1C411355"/>
    <w:rsid w:val="24237C2D"/>
    <w:rsid w:val="25420A9C"/>
    <w:rsid w:val="29B71E92"/>
    <w:rsid w:val="2A5C3F68"/>
    <w:rsid w:val="2D9B58C8"/>
    <w:rsid w:val="30610919"/>
    <w:rsid w:val="30772FFE"/>
    <w:rsid w:val="326222AA"/>
    <w:rsid w:val="357C7A47"/>
    <w:rsid w:val="35967FE5"/>
    <w:rsid w:val="37956133"/>
    <w:rsid w:val="39ED01CA"/>
    <w:rsid w:val="3AA23351"/>
    <w:rsid w:val="3BB47CAD"/>
    <w:rsid w:val="3C2D337A"/>
    <w:rsid w:val="3D662C46"/>
    <w:rsid w:val="3E592BFE"/>
    <w:rsid w:val="3F6076DD"/>
    <w:rsid w:val="40683561"/>
    <w:rsid w:val="437B6510"/>
    <w:rsid w:val="44AC516D"/>
    <w:rsid w:val="452031C9"/>
    <w:rsid w:val="4A3B6D2F"/>
    <w:rsid w:val="51F57AB6"/>
    <w:rsid w:val="54180CBC"/>
    <w:rsid w:val="542F2D50"/>
    <w:rsid w:val="54A53BA9"/>
    <w:rsid w:val="54E457B0"/>
    <w:rsid w:val="55BC1CC4"/>
    <w:rsid w:val="578A1479"/>
    <w:rsid w:val="58D853F1"/>
    <w:rsid w:val="5A056EA5"/>
    <w:rsid w:val="6180043B"/>
    <w:rsid w:val="61A643F9"/>
    <w:rsid w:val="62AC0F3E"/>
    <w:rsid w:val="656E190F"/>
    <w:rsid w:val="66FD119D"/>
    <w:rsid w:val="67AD0948"/>
    <w:rsid w:val="67C972D1"/>
    <w:rsid w:val="69280027"/>
    <w:rsid w:val="6A1139ED"/>
    <w:rsid w:val="6AA21F8F"/>
    <w:rsid w:val="6C021003"/>
    <w:rsid w:val="6C0A5DA1"/>
    <w:rsid w:val="6EEB3FD1"/>
    <w:rsid w:val="6FFB6495"/>
    <w:rsid w:val="703055AB"/>
    <w:rsid w:val="70585696"/>
    <w:rsid w:val="70BA1EAD"/>
    <w:rsid w:val="73C66DBA"/>
    <w:rsid w:val="751F0FEB"/>
    <w:rsid w:val="791D3250"/>
    <w:rsid w:val="7BF554B6"/>
    <w:rsid w:val="7DD3500D"/>
    <w:rsid w:val="7F24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1651</Words>
  <Characters>1986</Characters>
  <Lines>92</Lines>
  <Paragraphs>59</Paragraphs>
  <TotalTime>53</TotalTime>
  <ScaleCrop>false</ScaleCrop>
  <LinksUpToDate>false</LinksUpToDate>
  <CharactersWithSpaces>2073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2023-07-04T08:46:00Z</dcterms:created>
  <dc:creator>Administrator</dc:creator>
  <cp:lastModifiedBy>王巧凤</cp:lastModifiedBy>
  <dcterms:modified xsi:type="dcterms:W3CDTF">2024-08-22T02:09:56Z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E3F217D16CA2403BA1753DE4667CDD0E_13</vt:lpwstr>
  </property>
</Properties>
</file>